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24" w:rsidRDefault="00344624" w:rsidP="00344624">
      <w:pPr>
        <w:jc w:val="center"/>
        <w:rPr>
          <w:sz w:val="28"/>
          <w:szCs w:val="28"/>
          <w:lang w:val="uk-UA"/>
        </w:rPr>
      </w:pPr>
    </w:p>
    <w:p w:rsidR="00344624" w:rsidRPr="000D69FE" w:rsidRDefault="00344624" w:rsidP="00344624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ІНФОРМАЦІЙНА КАРТКА</w:t>
      </w:r>
    </w:p>
    <w:p w:rsidR="00344624" w:rsidRPr="000D69FE" w:rsidRDefault="00344624" w:rsidP="00344624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АДМІНІСТРАТИНОЇ ПОСЛУГИ</w:t>
      </w:r>
    </w:p>
    <w:p w:rsidR="00344624" w:rsidRPr="00B038B2" w:rsidRDefault="00344624" w:rsidP="0034462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Переоформлення ліцензії</w:t>
      </w:r>
    </w:p>
    <w:p w:rsidR="00344624" w:rsidRPr="00B038B2" w:rsidRDefault="00344624" w:rsidP="00344624">
      <w:pPr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16"/>
        <w:gridCol w:w="6299"/>
      </w:tblGrid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 xml:space="preserve">Орган, що надає адміністративну послугу 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Харківська обласна державна адміністрація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</w:p>
          <w:p w:rsidR="00344624" w:rsidRPr="000A5B5A" w:rsidRDefault="00344624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Телефон для консультацій: 705-03-11</w:t>
            </w:r>
          </w:p>
          <w:p w:rsidR="00344624" w:rsidRPr="000A5B5A" w:rsidRDefault="00344624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Адреса: м. Харків, вул. Сумська, 64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i/>
                <w:lang w:val="uk-UA"/>
              </w:rPr>
              <w:t>е-</w:t>
            </w:r>
            <w:proofErr w:type="spellStart"/>
            <w:r w:rsidRPr="000A5B5A">
              <w:rPr>
                <w:i/>
                <w:lang w:val="uk-UA"/>
              </w:rPr>
              <w:t>mail</w:t>
            </w:r>
            <w:proofErr w:type="spellEnd"/>
            <w:r w:rsidRPr="000A5B5A">
              <w:rPr>
                <w:i/>
                <w:lang w:val="uk-UA"/>
              </w:rPr>
              <w:t xml:space="preserve">: </w:t>
            </w:r>
            <w:hyperlink r:id="rId4" w:history="1">
              <w:r w:rsidRPr="000A5B5A">
                <w:rPr>
                  <w:rStyle w:val="a3"/>
                  <w:color w:val="auto"/>
                  <w:u w:val="none"/>
                  <w:lang w:val="uk-UA"/>
                </w:rPr>
                <w:t>priemnaya@dniokh.gov.ua</w:t>
              </w:r>
            </w:hyperlink>
          </w:p>
          <w:p w:rsidR="00344624" w:rsidRPr="000A5B5A" w:rsidRDefault="00344624" w:rsidP="00864EAC">
            <w:pPr>
              <w:rPr>
                <w:szCs w:val="28"/>
                <w:lang w:val="uk-UA"/>
              </w:rPr>
            </w:pPr>
            <w:r w:rsidRPr="000A5B5A">
              <w:rPr>
                <w:i/>
                <w:lang w:val="uk-UA"/>
              </w:rPr>
              <w:t>Веб-сайт: http://dniokh.gov.ua/</w:t>
            </w:r>
          </w:p>
        </w:tc>
      </w:tr>
      <w:tr w:rsidR="00344624" w:rsidRPr="00DF43CC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AC11F1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- ст. 43</w:t>
            </w:r>
            <w:r w:rsidRPr="00AC11F1">
              <w:rPr>
                <w:lang w:val="uk-UA"/>
              </w:rPr>
              <w:t xml:space="preserve"> Закону України «Про освіту»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п. 1 ст. 8 Закону України «Про загальну середню освіту»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п. 3 ст. 11 Закону України «Про дошкільну освіту»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Закон України «Про ліцензування видів господарської діяльності»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30.12.2015 № 1187 «Про затвердження Ліцензійних умов провадження освітньої діяльності закладів  освіти»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05.08.2015 № 609 «Про затвердження переліку органів ліцензування  та визнання такими, що втратили чинність, деяких постанов Кабінету Міністрів України»</w:t>
            </w:r>
          </w:p>
        </w:tc>
      </w:tr>
      <w:tr w:rsidR="00344624" w:rsidRPr="00DF43CC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Категорія замовників послуги, перелік підстав для отримання послуги (наявність певного статусу, виду діяльності, віку, права власності, користування об</w:t>
            </w:r>
            <w:r w:rsidRPr="000A5B5A">
              <w:rPr>
                <w:lang w:val="uk-UA"/>
              </w:rPr>
              <w:sym w:font="Symbol" w:char="F0A2"/>
            </w:r>
            <w:proofErr w:type="spellStart"/>
            <w:r w:rsidRPr="000A5B5A">
              <w:rPr>
                <w:lang w:val="uk-UA"/>
              </w:rPr>
              <w:t>єктом</w:t>
            </w:r>
            <w:proofErr w:type="spellEnd"/>
            <w:r w:rsidRPr="000A5B5A">
              <w:rPr>
                <w:lang w:val="uk-UA"/>
              </w:rPr>
              <w:t>) та інші специфічні умови отримання послуги</w:t>
            </w:r>
          </w:p>
        </w:tc>
        <w:tc>
          <w:tcPr>
            <w:tcW w:w="6299" w:type="dxa"/>
            <w:shd w:val="clear" w:color="auto" w:fill="auto"/>
          </w:tcPr>
          <w:p w:rsidR="00344624" w:rsidRDefault="00344624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Юридичні особи: дошкільні, загальноосвітні навчальні заклади.</w:t>
            </w:r>
          </w:p>
          <w:p w:rsidR="00344624" w:rsidRPr="00AC11F1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Фізичні особи-підприємці, які надають освітні послуги.</w:t>
            </w:r>
          </w:p>
          <w:p w:rsidR="00344624" w:rsidRPr="004141D6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Підстава для отримання послуги</w:t>
            </w:r>
            <w:r w:rsidRPr="00AC11F1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визначена законом України «Про ліцензування видів господарської діяльності» (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Право на здійснення виду господарської діяльності, на який отримано ліцензію, може переходити від ліцензіата, що був фізичною особою - підприємцем, до іншої фізичної особи, яка є її спадкоємцем. Така ліцензія ліцензіата підлягає у місячний строк переоформленню органом ліцензування на ім’я спадкоємця з дати набуття ним такого права, за умови відповідності спадкоємця вимогам відповідних ліцензійних умов</w:t>
            </w:r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4.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  <w:r w:rsidRPr="000A5B5A">
              <w:rPr>
                <w:lang w:val="uk-UA"/>
              </w:rPr>
              <w:t xml:space="preserve"> </w:t>
            </w:r>
          </w:p>
        </w:tc>
      </w:tr>
      <w:tr w:rsidR="00344624" w:rsidRPr="00DF43CC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 xml:space="preserve">5. 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299" w:type="dxa"/>
            <w:shd w:val="clear" w:color="auto" w:fill="auto"/>
          </w:tcPr>
          <w:p w:rsidR="00344624" w:rsidRPr="004141D6" w:rsidRDefault="00344624" w:rsidP="00864EAC">
            <w:pPr>
              <w:rPr>
                <w:lang w:val="uk-UA"/>
              </w:rPr>
            </w:pPr>
            <w:r w:rsidRPr="004141D6">
              <w:rPr>
                <w:color w:val="000000"/>
                <w:shd w:val="clear" w:color="auto" w:fill="FFFFFF"/>
                <w:lang w:val="uk-UA"/>
              </w:rPr>
              <w:t>У разі виникнення підстави для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переоформлення ліцензії 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спадкоємець зобов’язаний протягом місяця подати до органу ліцензування заяву про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переоформлення</w:t>
            </w:r>
            <w:r>
              <w:rPr>
                <w:color w:val="000000"/>
                <w:shd w:val="clear" w:color="auto" w:fill="FFFFFF"/>
              </w:rPr>
              <w:t> 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та документи (їх копії (фотокопії), засвідчені спадкоємцем), що підтверджують наявність підстав для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переоформлення </w:t>
            </w:r>
            <w:r w:rsidRPr="004141D6">
              <w:rPr>
                <w:color w:val="000000"/>
                <w:shd w:val="clear" w:color="auto" w:fill="FFFFFF"/>
                <w:lang w:val="uk-UA"/>
              </w:rPr>
              <w:t>ліцензії.</w:t>
            </w:r>
          </w:p>
        </w:tc>
      </w:tr>
      <w:tr w:rsidR="00344624" w:rsidRPr="004141D6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 xml:space="preserve">6. 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4361E0" w:rsidRDefault="00344624" w:rsidP="00864EAC">
            <w:pPr>
              <w:rPr>
                <w:lang w:val="uk-UA"/>
              </w:rPr>
            </w:pPr>
            <w:r w:rsidRPr="004361E0">
              <w:rPr>
                <w:lang w:val="uk-UA"/>
              </w:rPr>
              <w:t xml:space="preserve">Орган ліцензування приймає рішення про </w:t>
            </w:r>
            <w:r>
              <w:rPr>
                <w:lang w:val="uk-UA"/>
              </w:rPr>
              <w:t>переоформлення</w:t>
            </w:r>
            <w:r w:rsidRPr="004361E0">
              <w:rPr>
                <w:lang w:val="uk-UA"/>
              </w:rPr>
              <w:t xml:space="preserve"> ліцензії протягом </w:t>
            </w:r>
            <w:r>
              <w:rPr>
                <w:lang w:val="uk-UA"/>
              </w:rPr>
              <w:t>одного місяця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7.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Опис результату, який повинен отримати одержувач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Видання органом ліцензування розпорядження про переоформлення ліцензії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8.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Термін дії результату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9.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Безоплатність або платність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Безоплатно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lastRenderedPageBreak/>
              <w:t>10.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Місце надання адміністративної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Орган ліцензування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11.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Особливості надання адміністративної послуги особам похилого віку та інвалідам тощо</w:t>
            </w:r>
          </w:p>
        </w:tc>
        <w:tc>
          <w:tcPr>
            <w:tcW w:w="6299" w:type="dxa"/>
            <w:shd w:val="clear" w:color="auto" w:fill="auto"/>
          </w:tcPr>
          <w:p w:rsidR="00344624" w:rsidRPr="00923C8E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законодавства України</w:t>
            </w:r>
          </w:p>
          <w:p w:rsidR="00344624" w:rsidRPr="000A5B5A" w:rsidRDefault="00344624" w:rsidP="00864EAC">
            <w:pPr>
              <w:rPr>
                <w:lang w:val="uk-UA"/>
              </w:rPr>
            </w:pP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12.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Відповідно до законодавства України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13.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Зразок заяви на отримання послуги</w:t>
            </w:r>
          </w:p>
        </w:tc>
        <w:tc>
          <w:tcPr>
            <w:tcW w:w="6299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Форма не встановлена</w:t>
            </w:r>
          </w:p>
        </w:tc>
      </w:tr>
      <w:tr w:rsidR="00344624" w:rsidRPr="000A5B5A" w:rsidTr="00864EAC">
        <w:tc>
          <w:tcPr>
            <w:tcW w:w="516" w:type="dxa"/>
            <w:shd w:val="clear" w:color="auto" w:fill="auto"/>
          </w:tcPr>
          <w:p w:rsidR="00344624" w:rsidRPr="000A5B5A" w:rsidRDefault="00344624" w:rsidP="00864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16" w:type="dxa"/>
            <w:shd w:val="clear" w:color="auto" w:fill="auto"/>
          </w:tcPr>
          <w:p w:rsidR="00344624" w:rsidRPr="000A5B5A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>Плата за видачу ліцензії</w:t>
            </w:r>
          </w:p>
        </w:tc>
        <w:tc>
          <w:tcPr>
            <w:tcW w:w="6299" w:type="dxa"/>
            <w:shd w:val="clear" w:color="auto" w:fill="auto"/>
          </w:tcPr>
          <w:p w:rsidR="00344624" w:rsidRPr="00B038B2" w:rsidRDefault="00344624" w:rsidP="00864EAC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Переоформлення </w:t>
            </w:r>
            <w:proofErr w:type="spellStart"/>
            <w:r w:rsidRPr="00923C8E">
              <w:t>ліцензії</w:t>
            </w:r>
            <w:proofErr w:type="spellEnd"/>
            <w:r w:rsidRPr="00923C8E">
              <w:t xml:space="preserve"> є </w:t>
            </w:r>
            <w:proofErr w:type="spellStart"/>
            <w:r w:rsidRPr="00923C8E">
              <w:t>безоплатним</w:t>
            </w:r>
            <w:proofErr w:type="spellEnd"/>
          </w:p>
        </w:tc>
      </w:tr>
    </w:tbl>
    <w:p w:rsidR="00344624" w:rsidRDefault="00344624" w:rsidP="00344624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/>
      </w:r>
    </w:p>
    <w:p w:rsidR="00344624" w:rsidRDefault="00344624" w:rsidP="00344624">
      <w:pPr>
        <w:rPr>
          <w:bCs/>
          <w:sz w:val="22"/>
          <w:szCs w:val="22"/>
          <w:lang w:val="uk-UA"/>
        </w:rPr>
      </w:pPr>
      <w:bookmarkStart w:id="0" w:name="_GoBack"/>
      <w:bookmarkEnd w:id="0"/>
    </w:p>
    <w:sectPr w:rsidR="00344624" w:rsidSect="009E0F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7D"/>
    <w:rsid w:val="00116E7D"/>
    <w:rsid w:val="00344624"/>
    <w:rsid w:val="00C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2BF3"/>
  <w15:chartTrackingRefBased/>
  <w15:docId w15:val="{7C61E0CF-3DF9-46EC-979D-290F5FC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62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34462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dniokh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2018-11-19T13:37:00Z</dcterms:created>
  <dcterms:modified xsi:type="dcterms:W3CDTF">2018-11-19T13:37:00Z</dcterms:modified>
</cp:coreProperties>
</file>