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83" w:rsidRPr="00F92C37" w:rsidRDefault="00E25383" w:rsidP="00E25383">
      <w:pPr>
        <w:jc w:val="center"/>
        <w:rPr>
          <w:b/>
          <w:szCs w:val="28"/>
          <w:lang w:val="uk-UA"/>
        </w:rPr>
      </w:pPr>
      <w:r w:rsidRPr="00F92C37">
        <w:rPr>
          <w:b/>
          <w:noProof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83" w:rsidRPr="00F92C37" w:rsidRDefault="00E25383" w:rsidP="00E25383">
      <w:pPr>
        <w:jc w:val="center"/>
        <w:rPr>
          <w:b/>
          <w:szCs w:val="28"/>
          <w:lang w:val="uk-UA"/>
        </w:rPr>
      </w:pPr>
      <w:r w:rsidRPr="00F92C37">
        <w:rPr>
          <w:b/>
          <w:szCs w:val="28"/>
          <w:lang w:val="uk-UA"/>
        </w:rPr>
        <w:t>Харківська обласна державна адміністрація</w:t>
      </w:r>
    </w:p>
    <w:p w:rsidR="00E25383" w:rsidRPr="00F92C37" w:rsidRDefault="00E25383" w:rsidP="00E25383">
      <w:pPr>
        <w:jc w:val="center"/>
        <w:rPr>
          <w:b/>
          <w:szCs w:val="28"/>
          <w:lang w:val="uk-UA"/>
        </w:rPr>
      </w:pPr>
      <w:r w:rsidRPr="00F92C37">
        <w:rPr>
          <w:b/>
          <w:szCs w:val="28"/>
          <w:lang w:val="uk-UA"/>
        </w:rPr>
        <w:t xml:space="preserve">Департамент науки і освіти </w:t>
      </w:r>
      <w:bookmarkStart w:id="0" w:name="_GoBack"/>
      <w:bookmarkEnd w:id="0"/>
    </w:p>
    <w:p w:rsidR="00E25383" w:rsidRDefault="00E25383" w:rsidP="00EC32A7">
      <w:pPr>
        <w:jc w:val="center"/>
        <w:rPr>
          <w:b/>
          <w:szCs w:val="28"/>
          <w:lang w:val="uk-UA"/>
        </w:rPr>
      </w:pPr>
    </w:p>
    <w:p w:rsidR="00EC32A7" w:rsidRDefault="00EC32A7" w:rsidP="00EC32A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EC32A7" w:rsidRDefault="00EC32A7" w:rsidP="00EC32A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колегії Департаменту науки і освіти </w:t>
      </w:r>
    </w:p>
    <w:p w:rsidR="00EC32A7" w:rsidRDefault="00EC32A7" w:rsidP="00EC32A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обласної державної адміністрації</w:t>
      </w:r>
    </w:p>
    <w:p w:rsidR="00EC32A7" w:rsidRDefault="00EC32A7" w:rsidP="00EC32A7">
      <w:pPr>
        <w:jc w:val="both"/>
        <w:rPr>
          <w:bCs/>
          <w:szCs w:val="28"/>
          <w:lang w:val="uk-UA"/>
        </w:rPr>
      </w:pPr>
    </w:p>
    <w:p w:rsidR="00EC32A7" w:rsidRDefault="00EC32A7" w:rsidP="00EC32A7">
      <w:pPr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20  грудня 2019 року </w:t>
      </w:r>
    </w:p>
    <w:p w:rsidR="00EC32A7" w:rsidRDefault="00EC32A7" w:rsidP="00EC32A7">
      <w:pPr>
        <w:ind w:firstLine="851"/>
        <w:jc w:val="center"/>
        <w:rPr>
          <w:b/>
          <w:szCs w:val="28"/>
          <w:lang w:val="uk-UA"/>
        </w:rPr>
      </w:pPr>
    </w:p>
    <w:p w:rsidR="00EC32A7" w:rsidRDefault="00EC32A7" w:rsidP="00EC32A7">
      <w:pPr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стан фінансової дисципліни місцевих органів управління у сфері освіти та підпорядкованих їм закладів. </w:t>
      </w:r>
    </w:p>
    <w:p w:rsidR="00EC32A7" w:rsidRDefault="00EC32A7" w:rsidP="00EC32A7">
      <w:pPr>
        <w:ind w:firstLine="851"/>
        <w:jc w:val="both"/>
        <w:rPr>
          <w:szCs w:val="28"/>
          <w:lang w:val="uk-UA"/>
        </w:rPr>
      </w:pPr>
    </w:p>
    <w:p w:rsidR="00EC32A7" w:rsidRDefault="00EC32A7" w:rsidP="00EC32A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Заслухавши доповідь начальника відділу економіки, фінансування та бухгалтерського обліку управління ресурсного забезпечення Департаменту науки і освіти Харківської обласної державної адміністрації – головного бухгалтера Світлани КОВАЛЬОВОЇ про стан фінансової дисципліни у відділах (управліннях) освіти районних державних адміністрацій та міських рад міст обласного значення, підпорядкованих їм закладах освіти колегія відмічає наступне.</w:t>
      </w:r>
    </w:p>
    <w:p w:rsidR="00EC32A7" w:rsidRDefault="00EC32A7" w:rsidP="00EC32A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2019 року Північно-східним офісом </w:t>
      </w:r>
      <w:proofErr w:type="spellStart"/>
      <w:r>
        <w:rPr>
          <w:szCs w:val="28"/>
          <w:lang w:val="uk-UA"/>
        </w:rPr>
        <w:t>Держаудитслужби</w:t>
      </w:r>
      <w:proofErr w:type="spellEnd"/>
      <w:r>
        <w:rPr>
          <w:szCs w:val="28"/>
          <w:lang w:val="uk-UA"/>
        </w:rPr>
        <w:t xml:space="preserve"> проведено заходи державного фінансового контролю в 6-ти  районних (міських) відділах (управліннях) освіти Харківської області та </w:t>
      </w:r>
      <w:proofErr w:type="spellStart"/>
      <w:r>
        <w:rPr>
          <w:szCs w:val="28"/>
          <w:lang w:val="uk-UA"/>
        </w:rPr>
        <w:t>м.Харкова</w:t>
      </w:r>
      <w:proofErr w:type="spellEnd"/>
      <w:r>
        <w:rPr>
          <w:szCs w:val="28"/>
          <w:lang w:val="uk-UA"/>
        </w:rPr>
        <w:t>.</w:t>
      </w:r>
    </w:p>
    <w:p w:rsidR="00EC32A7" w:rsidRDefault="00EC32A7" w:rsidP="00EC32A7">
      <w:pPr>
        <w:shd w:val="clear" w:color="auto" w:fill="FFFFFF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Контрольними  заходами  виявлено  фінансових  порушень  на загальну суму 6600,39 тис. грн., з яких порушення, що призвели до втрат фінансових і матеріальних ресурсів, складають 1547,16 тис. грн., в тому числі недоотримання фінансових ресурсів – 6,92 тис. грн., незаконні витрати коштів – 688,4 тис. грн.,  недостачі – 2,4 тис. грн., нецільове використання бюджетних коштів – 849,44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. інші порушення фінансової дисципліни складають 5053,23 тис. грн. Крім того, контрольними заходами встановлено факти прийняття неефективних управлінський дій (рішень), що призвело до непродуктивних (зайвих) витрат на загальну суму 3746,94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.</w:t>
      </w:r>
    </w:p>
    <w:p w:rsidR="00EC32A7" w:rsidRDefault="00EC32A7" w:rsidP="00EC32A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результатами контрольних заходів відшкодовано втрат та </w:t>
      </w:r>
      <w:proofErr w:type="spellStart"/>
      <w:r>
        <w:rPr>
          <w:szCs w:val="28"/>
          <w:lang w:val="uk-UA"/>
        </w:rPr>
        <w:t>усунено</w:t>
      </w:r>
      <w:proofErr w:type="spellEnd"/>
      <w:r>
        <w:rPr>
          <w:szCs w:val="28"/>
          <w:lang w:val="uk-UA"/>
        </w:rPr>
        <w:t xml:space="preserve"> інших фінансових порушень в повному обсязі управлінням освіти адміністрації Шевченківського району Харківської міської ради, управлінням освіти, молоді та спорту </w:t>
      </w:r>
      <w:proofErr w:type="spellStart"/>
      <w:r>
        <w:rPr>
          <w:szCs w:val="28"/>
          <w:lang w:val="uk-UA"/>
        </w:rPr>
        <w:t>Лозівської</w:t>
      </w:r>
      <w:proofErr w:type="spellEnd"/>
      <w:r>
        <w:rPr>
          <w:szCs w:val="28"/>
          <w:lang w:val="uk-UA"/>
        </w:rPr>
        <w:t xml:space="preserve"> міської ради Харківської області, відділом освіти </w:t>
      </w:r>
      <w:proofErr w:type="spellStart"/>
      <w:r>
        <w:rPr>
          <w:szCs w:val="28"/>
          <w:lang w:val="uk-UA"/>
        </w:rPr>
        <w:t>Люботинської</w:t>
      </w:r>
      <w:proofErr w:type="spellEnd"/>
      <w:r>
        <w:rPr>
          <w:szCs w:val="28"/>
          <w:lang w:val="uk-UA"/>
        </w:rPr>
        <w:t xml:space="preserve"> міської ради Харківської області, відділом освіти </w:t>
      </w:r>
      <w:proofErr w:type="spellStart"/>
      <w:r>
        <w:rPr>
          <w:szCs w:val="28"/>
          <w:lang w:val="uk-UA"/>
        </w:rPr>
        <w:t>Зміївської</w:t>
      </w:r>
      <w:proofErr w:type="spellEnd"/>
      <w:r>
        <w:rPr>
          <w:szCs w:val="28"/>
          <w:lang w:val="uk-UA"/>
        </w:rPr>
        <w:t xml:space="preserve"> районної державної адміністрації Харківської області. У відділах освіти Куп’янської міської ради Харківської області та Первомайської міської ради Харківської області  фінансові втрати та інші порушення відшкодовано та </w:t>
      </w:r>
      <w:proofErr w:type="spellStart"/>
      <w:r>
        <w:rPr>
          <w:szCs w:val="28"/>
          <w:lang w:val="uk-UA"/>
        </w:rPr>
        <w:t>усунено</w:t>
      </w:r>
      <w:proofErr w:type="spellEnd"/>
      <w:r>
        <w:rPr>
          <w:szCs w:val="28"/>
          <w:lang w:val="uk-UA"/>
        </w:rPr>
        <w:t xml:space="preserve"> частково, а саме: </w:t>
      </w:r>
    </w:p>
    <w:p w:rsidR="00E25383" w:rsidRDefault="00EC32A7" w:rsidP="00EC32A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- відділом  освіти Куп’янської міської ради Харківської області не відшкодовано порушення у сумі 179,77 тис. грн.;</w:t>
      </w:r>
    </w:p>
    <w:p w:rsidR="00EC32A7" w:rsidRPr="00E25383" w:rsidRDefault="00EC32A7" w:rsidP="00EC32A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- відділом  освіти виконавчого комітету Первомайської міської ради Харківської області не відшкодовано  порушення у сумі 86,13 тис. грн.</w:t>
      </w:r>
      <w:r>
        <w:rPr>
          <w:szCs w:val="28"/>
          <w:lang w:val="uk-UA"/>
        </w:rPr>
        <w:tab/>
      </w:r>
      <w:r>
        <w:rPr>
          <w:szCs w:val="28"/>
          <w:highlight w:val="yellow"/>
          <w:lang w:val="uk-UA"/>
        </w:rPr>
        <w:t xml:space="preserve"> </w:t>
      </w:r>
    </w:p>
    <w:p w:rsidR="00EC32A7" w:rsidRDefault="00EC32A7" w:rsidP="00EC32A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 метою повного усунення порушень фінансової дисципліни та недопущення їх у подальшій роботі керівникам усіх перевірених відділів (</w:t>
      </w:r>
      <w:proofErr w:type="spellStart"/>
      <w:r>
        <w:rPr>
          <w:szCs w:val="28"/>
          <w:lang w:val="uk-UA"/>
        </w:rPr>
        <w:t>управліннь</w:t>
      </w:r>
      <w:proofErr w:type="spellEnd"/>
      <w:r>
        <w:rPr>
          <w:szCs w:val="28"/>
          <w:lang w:val="uk-UA"/>
        </w:rPr>
        <w:t xml:space="preserve">) освіти Харківської області та </w:t>
      </w:r>
      <w:proofErr w:type="spellStart"/>
      <w:r>
        <w:rPr>
          <w:szCs w:val="28"/>
          <w:lang w:val="uk-UA"/>
        </w:rPr>
        <w:t>м.Харкова</w:t>
      </w:r>
      <w:proofErr w:type="spellEnd"/>
      <w:r>
        <w:rPr>
          <w:szCs w:val="28"/>
          <w:lang w:val="uk-UA"/>
        </w:rPr>
        <w:t>  направлені відповідні вимоги.</w:t>
      </w:r>
    </w:p>
    <w:p w:rsidR="00EC32A7" w:rsidRDefault="00EC32A7" w:rsidP="00EC32A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результатами контрольних заходів органами управління районними (міськими)  відділами (управліннями) освіти Харківської області та </w:t>
      </w:r>
      <w:proofErr w:type="spellStart"/>
      <w:r>
        <w:rPr>
          <w:szCs w:val="28"/>
          <w:lang w:val="uk-UA"/>
        </w:rPr>
        <w:t>м.Харкова</w:t>
      </w:r>
      <w:proofErr w:type="spellEnd"/>
      <w:r>
        <w:rPr>
          <w:szCs w:val="28"/>
          <w:lang w:val="uk-UA"/>
        </w:rPr>
        <w:t xml:space="preserve"> прийнято накази, згідно з якими до дисциплінарної та матеріальної відповідальності притягнуто 5 осіб. </w:t>
      </w:r>
    </w:p>
    <w:p w:rsidR="00EC32A7" w:rsidRDefault="00EC32A7" w:rsidP="00EC32A7">
      <w:pPr>
        <w:ind w:firstLine="567"/>
        <w:jc w:val="both"/>
        <w:rPr>
          <w:szCs w:val="28"/>
          <w:lang w:val="uk-UA"/>
        </w:rPr>
      </w:pPr>
      <w:r w:rsidRPr="00EC32A7">
        <w:rPr>
          <w:szCs w:val="28"/>
          <w:lang w:val="uk-UA"/>
        </w:rPr>
        <w:t xml:space="preserve">За неналежний контроль у веденні бухгалтерського обліку та допущені порушення фінансової дисципліни до адміністративної відповідальності згідно зі ст. 164-2 КУпАП притягнуто </w:t>
      </w:r>
      <w:r>
        <w:rPr>
          <w:szCs w:val="28"/>
          <w:lang w:val="uk-UA"/>
        </w:rPr>
        <w:t>26</w:t>
      </w:r>
      <w:r w:rsidRPr="00EC32A7">
        <w:rPr>
          <w:szCs w:val="28"/>
          <w:lang w:val="uk-UA"/>
        </w:rPr>
        <w:t xml:space="preserve"> посадових осіб.</w:t>
      </w:r>
      <w:r>
        <w:rPr>
          <w:szCs w:val="28"/>
          <w:lang w:val="uk-UA"/>
        </w:rPr>
        <w:t xml:space="preserve"> За порушення бюджетного законодавства до адміністративної відповідальності згідно зі ст. 164-12</w:t>
      </w:r>
      <w:r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КупАП</w:t>
      </w:r>
      <w:proofErr w:type="spellEnd"/>
      <w:r>
        <w:rPr>
          <w:szCs w:val="28"/>
          <w:lang w:val="uk-UA"/>
        </w:rPr>
        <w:t xml:space="preserve"> притягнуто 2 посадові особи.</w:t>
      </w:r>
    </w:p>
    <w:p w:rsidR="00EC32A7" w:rsidRDefault="00EC32A7" w:rsidP="00EC32A7">
      <w:pPr>
        <w:widowControl w:val="0"/>
        <w:ind w:firstLine="567"/>
        <w:jc w:val="both"/>
        <w:rPr>
          <w:spacing w:val="2"/>
          <w:szCs w:val="28"/>
          <w:lang w:val="uk-UA"/>
        </w:rPr>
      </w:pPr>
      <w:r>
        <w:rPr>
          <w:szCs w:val="28"/>
          <w:lang w:val="uk-UA"/>
        </w:rPr>
        <w:t xml:space="preserve">За порушення законодавства в сфері публічних </w:t>
      </w:r>
      <w:proofErr w:type="spellStart"/>
      <w:r>
        <w:rPr>
          <w:szCs w:val="28"/>
          <w:lang w:val="uk-UA"/>
        </w:rPr>
        <w:t>закупівель</w:t>
      </w:r>
      <w:proofErr w:type="spellEnd"/>
      <w:r>
        <w:rPr>
          <w:szCs w:val="28"/>
          <w:lang w:val="uk-UA"/>
        </w:rPr>
        <w:t xml:space="preserve"> стосовно 5-ти посадових осіб відділу освіти </w:t>
      </w:r>
      <w:proofErr w:type="spellStart"/>
      <w:r>
        <w:rPr>
          <w:szCs w:val="28"/>
          <w:lang w:val="uk-UA"/>
        </w:rPr>
        <w:t>Зміївської</w:t>
      </w:r>
      <w:proofErr w:type="spellEnd"/>
      <w:r>
        <w:rPr>
          <w:szCs w:val="28"/>
          <w:lang w:val="uk-UA"/>
        </w:rPr>
        <w:t xml:space="preserve"> районної державної адміністрації Харківської області складено протокол про адміністративне правопорушення за ч. 1 ст. 164-14 КУпАП та матеріали справ направлено для розгляду до суду.</w:t>
      </w:r>
    </w:p>
    <w:p w:rsidR="00EC32A7" w:rsidRDefault="00EC32A7" w:rsidP="00EC32A7">
      <w:pPr>
        <w:ind w:firstLine="560"/>
        <w:jc w:val="both"/>
        <w:rPr>
          <w:szCs w:val="28"/>
        </w:rPr>
      </w:pPr>
      <w:r>
        <w:rPr>
          <w:szCs w:val="28"/>
          <w:lang w:val="uk-UA"/>
        </w:rPr>
        <w:t xml:space="preserve">Про результати  ревізій  проінформовано  правоохоронні  органи, матеріали  ревізій </w:t>
      </w:r>
      <w:proofErr w:type="spellStart"/>
      <w:r>
        <w:rPr>
          <w:szCs w:val="28"/>
          <w:lang w:val="uk-UA"/>
        </w:rPr>
        <w:t>Лозівського</w:t>
      </w:r>
      <w:proofErr w:type="spellEnd"/>
      <w:r>
        <w:rPr>
          <w:szCs w:val="28"/>
          <w:lang w:val="uk-UA"/>
        </w:rPr>
        <w:t xml:space="preserve"> міського управління освіти Харківської області та Куп’янського міського відділу освіти Харківської області передано на розгляд до правоохоронних органів. </w:t>
      </w:r>
      <w:r>
        <w:rPr>
          <w:szCs w:val="28"/>
        </w:rPr>
        <w:t xml:space="preserve">За </w:t>
      </w:r>
      <w:proofErr w:type="spellStart"/>
      <w:r>
        <w:rPr>
          <w:szCs w:val="28"/>
        </w:rPr>
        <w:t>переданими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Лозівського</w:t>
      </w:r>
      <w:proofErr w:type="spellEnd"/>
      <w:r>
        <w:rPr>
          <w:szCs w:val="28"/>
          <w:lang w:val="uk-UA"/>
        </w:rPr>
        <w:t xml:space="preserve"> міського управління освіти Харківської області </w:t>
      </w:r>
      <w:proofErr w:type="spellStart"/>
      <w:r>
        <w:rPr>
          <w:szCs w:val="28"/>
        </w:rPr>
        <w:t>розпочато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досудове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розслідування</w:t>
      </w:r>
      <w:proofErr w:type="spellEnd"/>
      <w:r>
        <w:rPr>
          <w:szCs w:val="28"/>
        </w:rPr>
        <w:t xml:space="preserve">. </w:t>
      </w:r>
    </w:p>
    <w:p w:rsidR="00EC32A7" w:rsidRDefault="00EC32A7" w:rsidP="00EC32A7">
      <w:pPr>
        <w:shd w:val="clear" w:color="auto" w:fill="FFFFFF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Враховуючи вищевикладене, колегія ухвалює: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 Інформацію про стан фінансово-бюджетної дисципліни у відділах (управліннях) освіти районних державних адміністрацій та міських рад міст обласного значення, підпорядкованих їм закладах освіти взяти до відома.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 Начальникам районних (міських) відділів (управлінь) освіти Харківської області: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2.1. Провести ретельний аналіз виявлених фінансових порушень, вжити вичерпних заходів щодо відшкодування збитків та інших порушень у повному обсязі.</w:t>
      </w:r>
    </w:p>
    <w:p w:rsidR="00EC32A7" w:rsidRDefault="00EC32A7" w:rsidP="00EC32A7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січень 2020 року 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2.2. Вживати дієвих заходів щодо попередження та недопущення порушень фінансово-бюджетної дисципліни.</w:t>
      </w:r>
    </w:p>
    <w:p w:rsidR="00EC32A7" w:rsidRDefault="00EC32A7" w:rsidP="00EC32A7">
      <w:pPr>
        <w:tabs>
          <w:tab w:val="left" w:pos="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постійно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2.3. Посилити контроль за цільовим та ефективним використанням бюджетних коштів та матеріальних ресурсів.</w:t>
      </w:r>
    </w:p>
    <w:p w:rsidR="00EC32A7" w:rsidRDefault="00EC32A7" w:rsidP="00EC32A7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постійно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2.4. Забезпечити належний рівень ведення бухгалтерського обліку.</w:t>
      </w:r>
    </w:p>
    <w:p w:rsidR="00EC32A7" w:rsidRDefault="00EC32A7" w:rsidP="00EC32A7">
      <w:pPr>
        <w:tabs>
          <w:tab w:val="left" w:pos="828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 :постійно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2.5. Дотримуватись вимог Закону України «Про публічні закупівлі».</w:t>
      </w:r>
    </w:p>
    <w:p w:rsidR="00EC32A7" w:rsidRDefault="00EC32A7" w:rsidP="00EC32A7">
      <w:pPr>
        <w:tabs>
          <w:tab w:val="left" w:pos="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постійно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2.6. На нарадах з керівниками підпорядкованих закладів розглянути та проаналізувати виявлені порушення фінансово-бюджетної дисципліни.</w:t>
      </w:r>
    </w:p>
    <w:p w:rsidR="00EC32A7" w:rsidRDefault="00EC32A7" w:rsidP="00EC32A7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Термін: січень-березень 2020 року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  <w:t>3. Контроль за виконанням даного рішення покласти на начальника відділу економіки, фінансування та бухгалтерського обліку управління ресурсного забезпечення Департаменту наук</w:t>
      </w:r>
      <w:r w:rsidR="00E1628E">
        <w:rPr>
          <w:szCs w:val="28"/>
          <w:lang w:val="uk-UA"/>
        </w:rPr>
        <w:t>и і освіти Харківської обласної</w:t>
      </w:r>
    </w:p>
    <w:p w:rsidR="00EC32A7" w:rsidRDefault="00EC32A7" w:rsidP="00EC32A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державної адміністрації – головного бухгалтера управління ресурсного забезпечення Світлану КОВАЛЬОВУ.  </w:t>
      </w:r>
    </w:p>
    <w:p w:rsidR="00EC32A7" w:rsidRDefault="00EC32A7" w:rsidP="00EC32A7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</w:p>
    <w:p w:rsidR="00EC32A7" w:rsidRDefault="00EC32A7" w:rsidP="00EC32A7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</w:p>
    <w:p w:rsidR="00EC32A7" w:rsidRDefault="00310808" w:rsidP="00EC32A7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Голова колегії</w:t>
      </w:r>
      <w:r>
        <w:rPr>
          <w:bCs/>
          <w:color w:val="000000"/>
          <w:szCs w:val="28"/>
          <w:lang w:val="uk-UA"/>
        </w:rPr>
        <w:tab/>
        <w:t xml:space="preserve"> </w:t>
      </w:r>
      <w:r w:rsidR="00EC32A7">
        <w:rPr>
          <w:bCs/>
          <w:color w:val="000000"/>
          <w:szCs w:val="28"/>
          <w:lang w:val="uk-UA"/>
        </w:rPr>
        <w:tab/>
      </w:r>
      <w:r w:rsidR="00EC32A7">
        <w:rPr>
          <w:bCs/>
          <w:color w:val="000000"/>
          <w:szCs w:val="28"/>
          <w:lang w:val="uk-UA"/>
        </w:rPr>
        <w:tab/>
      </w:r>
      <w:r w:rsidR="00EC32A7">
        <w:rPr>
          <w:bCs/>
          <w:color w:val="000000"/>
          <w:szCs w:val="28"/>
          <w:lang w:val="uk-UA"/>
        </w:rPr>
        <w:tab/>
      </w:r>
      <w:r w:rsidR="00EC32A7">
        <w:rPr>
          <w:bCs/>
          <w:color w:val="000000"/>
          <w:szCs w:val="28"/>
          <w:lang w:val="uk-UA"/>
        </w:rPr>
        <w:tab/>
        <w:t xml:space="preserve">                        Лариса КАРПОВА</w:t>
      </w:r>
    </w:p>
    <w:p w:rsidR="00EC32A7" w:rsidRDefault="00EC32A7" w:rsidP="00EC32A7">
      <w:pPr>
        <w:ind w:firstLine="252"/>
        <w:jc w:val="center"/>
        <w:rPr>
          <w:b/>
          <w:szCs w:val="28"/>
        </w:rPr>
      </w:pPr>
    </w:p>
    <w:p w:rsidR="00EC32A7" w:rsidRDefault="00EC32A7" w:rsidP="00EC32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EC32A7" w:rsidRDefault="00EC32A7" w:rsidP="00EC32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EC32A7" w:rsidRDefault="00EC32A7" w:rsidP="00EC32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62782D" w:rsidRDefault="0062782D"/>
    <w:sectPr w:rsidR="0062782D" w:rsidSect="00E253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8D"/>
    <w:rsid w:val="000556FB"/>
    <w:rsid w:val="00310808"/>
    <w:rsid w:val="0062782D"/>
    <w:rsid w:val="00BF7B8D"/>
    <w:rsid w:val="00E1628E"/>
    <w:rsid w:val="00E25383"/>
    <w:rsid w:val="00E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74FA-C9FD-4FE3-9334-9550297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2020-01-16T10:33:00Z</dcterms:created>
  <dcterms:modified xsi:type="dcterms:W3CDTF">2020-01-16T10:53:00Z</dcterms:modified>
</cp:coreProperties>
</file>